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800"/>
      </w:pPr>
    </w:p>
    <w:p>
      <w:pPr>
        <w:spacing w:after="80" w:before="0"/>
        <w:jc w:val="center"/>
      </w:pPr>
      <w:r>
        <w:rPr>
          <w:rFonts w:ascii="Garamond" w:cs="Garamond" w:eastAsia="Garamond" w:hAnsi="Garamond"/>
          <w:b/>
          <w:bCs/>
          <w:i w:val="false"/>
          <w:iCs w:val="false"/>
          <w:color w:val="0D2137"/>
          <w:sz w:val="52"/>
          <w:szCs w:val="52"/>
        </w:rPr>
        <w:t xml:space="preserve">PROOFBRIDGE LINER</w:t>
      </w:r>
    </w:p>
    <w:p>
      <w:pPr>
        <w:spacing w:after="80" w:before="0"/>
        <w:jc w:val="center"/>
      </w:pPr>
      <w:r>
        <w:rPr>
          <w:rFonts w:ascii="Garamond" w:cs="Garamond" w:eastAsia="Garamond" w:hAnsi="Garamond"/>
          <w:b w:val="false"/>
          <w:bCs w:val="false"/>
          <w:i/>
          <w:iCs/>
          <w:color w:val="0A7E7E"/>
          <w:sz w:val="28"/>
          <w:szCs w:val="28"/>
        </w:rPr>
        <w:t xml:space="preserve">Comparative Attestation &amp; Delta Report</w:t>
      </w:r>
    </w:p>
    <w:p>
      <w:pPr>
        <w:spacing w:after="120" w:before="0"/>
        <w:jc w:val="center"/>
      </w:pPr>
      <w:r>
        <w:rPr>
          <w:rFonts w:ascii="Garamond" w:cs="Garamond" w:eastAsia="Garamond" w:hAnsi="Garamond"/>
          <w:b w:val="false"/>
          <w:bCs w:val="false"/>
          <w:i/>
          <w:iCs/>
          <w:color w:val="8B9BAC"/>
          <w:sz w:val="19"/>
          <w:szCs w:val="19"/>
        </w:rPr>
        <w:t xml:space="preserve">Blackbook Vol. I  ·  Vol. II  vs.  New Liveness Submission (Doc 2)</w:t>
      </w:r>
    </w:p>
    <w:p>
      <w:pPr>
        <w:pBdr>
          <w:bottom w:val="thick" w:color="0A7E7E" w:sz="12" w:space="8"/>
        </w:pBdr>
        <w:spacing w:after="120" w:before="120"/>
      </w:pPr>
    </w:p>
    <w:p>
      <w:pPr>
        <w:spacing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Document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ProofBridge Liveness — Comparative Attestation Report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Corpus Under Review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Blackbook Vol. I · Vol. II (produced) + Doc 2 (new submission)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Attestation Date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May 2026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Attesting Entity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VV Security Spine — SafeKrypte Foundation Layer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Verdict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✅ Doc 2 CONFIRMED — Net-additive to canon, one precision delta applied</w:t>
            </w:r>
          </w:p>
        </w:tc>
      </w:tr>
    </w:tbl>
    <w:p>
      <w:pPr>
        <w:spacing w:after="0" w:before="0"/>
      </w:pPr>
      <w:r>
        <w:br w:type="page"/>
      </w:r>
    </w:p>
    <w:p>
      <w:pPr>
        <w:pStyle w:val="Heading1"/>
        <w:pBdr>
          <w:bottom w:val="thick" w:color="0A7E7E" w:sz="10" w:space="8"/>
        </w:pBdr>
        <w:spacing w:after="160" w:before="520"/>
      </w:pPr>
      <w:r>
        <w:rPr>
          <w:rFonts w:ascii="Garamond" w:cs="Garamond" w:eastAsia="Garamond" w:hAnsi="Garamond"/>
          <w:b/>
          <w:bCs/>
          <w:color w:val="0D2137"/>
          <w:sz w:val="44"/>
          <w:szCs w:val="44"/>
        </w:rPr>
        <w:t xml:space="preserve">Section 1 — Attestation Methodology</w:t>
      </w: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1.1  What 'Compare and Attest' Means in Formal Methods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Attestation in the context of a formal verification corpus is not a subjective review. It is a claim-by-claim comparison against a canonical reference, producing one of four verdicts for each claim: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3600"/>
        <w:gridCol w:w="2880"/>
      </w:tblGrid>
      <w:tr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Verdict</w:t>
            </w:r>
          </w:p>
        </w:tc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</w:tr>
      <w:tr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✅ CONFIRMED</w:t>
            </w:r>
          </w:p>
        </w:tc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Claim in Doc 2 matches canon — identical or equivalent formal statement</w:t>
            </w:r>
          </w:p>
        </w:tc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8F8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Accept as-is</w:t>
            </w:r>
          </w:p>
        </w:tc>
      </w:tr>
      <w:tr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➕ ADDITIVE</w:t>
            </w:r>
          </w:p>
        </w:tc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Claim in Doc 2 is new — not in canon, but consistent with it</w:t>
            </w:r>
          </w:p>
        </w:tc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8F8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Integrate into corpus</w:t>
            </w:r>
          </w:p>
        </w:tc>
      </w:tr>
      <w:tr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⚠️ DELTA</w:t>
            </w:r>
          </w:p>
        </w:tc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Claim in Doc 2 differs from canon — requires reconciliation</w:t>
            </w:r>
          </w:p>
        </w:tc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8F8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Apply precision correction</w:t>
            </w:r>
          </w:p>
        </w:tc>
      </w:tr>
      <w:tr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❌ CONFLICT</w:t>
            </w:r>
          </w:p>
        </w:tc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Claim in Doc 2 contradicts canon — cannot coexist</w:t>
            </w:r>
          </w:p>
        </w:tc>
        <w:tc>
          <w:tcPr>
            <w:tcW w:type="dxa" w:w="288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8F8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Reject with explanation</w:t>
            </w:r>
          </w:p>
        </w:tc>
      </w:tr>
    </w:tbl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The attestation below is performed across six dimensions: TLA+ specification structure, Coq proof content, fairness semantics, module naming and repository layout, liveness property statement, and integration with the existing safety invariants.</w:t>
      </w:r>
    </w:p>
    <w:p>
      <w:pPr>
        <w:pBdr>
          <w:bottom w:val="single" w:color="B0C8C8" w:sz="2" w:space="2"/>
        </w:pBdr>
        <w:spacing w:after="200" w:before="200"/>
      </w:pP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1.2  Corpus Reference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Document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Key Contributions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 — SafetyKernel.tla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Safety invariant (SafetyInvariant), two-state DFA, T1–T5 axioms, gas invariants G1–G3, ERC-20 hook, counterexample table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 — Coq pseudo-proof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halted_is_absorbing theorem, fail_closed theorem, step() total function, State/Authority/Input types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II — ProofBridgeLiveness.tla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Liveness property via ~&gt; operator, WF_vars(Recover) fairness clause, Beta(1,10) scorer, PCR TEE binding, recovery protocol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II — Coq extension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liveness_fair theorem stub, reset_instant as single-step liveness, trace model CoInductive Trace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Doc 2 (New Submission)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SafetyKernelLiveness.tla (extends SafetyKernel), TLAPS import, LivenessProperty via [] ⇒ &lt;&gt;, WF on Reset, reset_instant theorem, liveness_fair theorem</w:t>
            </w:r>
          </w:p>
        </w:tc>
      </w:tr>
    </w:tbl>
    <w:p>
      <w:pPr>
        <w:spacing w:after="0" w:before="0"/>
      </w:pPr>
      <w:r>
        <w:br w:type="page"/>
      </w:r>
    </w:p>
    <w:p>
      <w:pPr>
        <w:pStyle w:val="Heading1"/>
        <w:pBdr>
          <w:bottom w:val="thick" w:color="0A7E7E" w:sz="10" w:space="8"/>
        </w:pBdr>
        <w:spacing w:after="160" w:before="520"/>
      </w:pPr>
      <w:r>
        <w:rPr>
          <w:rFonts w:ascii="Garamond" w:cs="Garamond" w:eastAsia="Garamond" w:hAnsi="Garamond"/>
          <w:b/>
          <w:bCs/>
          <w:color w:val="0D2137"/>
          <w:sz w:val="44"/>
          <w:szCs w:val="44"/>
        </w:rPr>
        <w:t xml:space="preserve">Section 2 — Claim-by-Claim Delta Matrix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Every formal claim in Doc 2 is compared against the canon. Width of the table demands precision — each cell is a verdict, not a summary.</w:t>
      </w:r>
    </w:p>
    <w:p>
      <w:pPr>
        <w:spacing w:before="80"/>
      </w:pPr>
    </w:p>
    <w:tbl>
      <w:tblPr>
        <w:tblW w:type="dxa" w:w="96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1600"/>
        <w:gridCol w:w="1800"/>
        <w:gridCol w:w="1360"/>
      </w:tblGrid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Claim / Component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Vol. II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Doc 2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Verdict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TLA+ module EXTENDS SafetyKernel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SafetyKernel.tla is the base module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ProofBridgeLiveness.tla extends implicitly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SafetyKernelLiveness.tla — explicit EXTENDS SafetyKernel, Naturals, TLAPS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State space {OPEN, HALTED}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Defined in SafetyKernel.tla — States == {OPEN, HALTED}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Inherited from Vol. I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Inherited via EXTENDS — not redeclared (correct)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Fairness clause on Reset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Not present in Vol. I safety spec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WF_vars(Recover) on Recover action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WF_&lt;&lt;state,posterior,actor&gt;&gt;(Reset) — correct variable tuple, correct action name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Liveness property operator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Not in 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(HALTED ∧ AUTH) ~&gt; OPEN using leads-to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[]((state=HALTED ∧ actor=AUTH) =&gt; &lt;&gt;(state=OPEN)) — box-diamond formulation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EF6E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B7770D"/>
                <w:sz w:val="20"/>
                <w:szCs w:val="20"/>
              </w:rPr>
              <w:t xml:space="preserve">⚠️ DELTA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THEOREM Spec =&gt; LivenessProperty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Not in 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Implicit — proven via TLC trace analysis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Explicit THEOREM declaration — TLAPS-style, correct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EF4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3A8F"/>
                <w:sz w:val="20"/>
                <w:szCs w:val="20"/>
              </w:rPr>
              <w:t xml:space="preserve">➕ ADDITIVE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Coq: reset_instant theorem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halted_is_absorbing + fail_closed in 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reset_instant stub in Vol. II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Full proof: intros s i Hs Ha; subst s; simpl; rewrite Ha; reflexivity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Coq: liveness_fair theorem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Not in 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Introduced as stub in Vol. II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Doc 2 provides proof sketch — fairness → reset_instant → OPEN, honest ellipsis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Coq: CoInductive Trace model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Not in 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Introduced in Vol. II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Doc 2 retains and correctly uses step : State -&gt; Input -&gt; Trace -&gt; Trace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Repository layout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 defines proofbridge-liner/ layout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Vol. II extends layout — audit/, docs/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Doc 2 places SafetyKernelLiveness.tla under spec/ alongside SafetyKernel.tla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WF explanation (why fairness needed)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Implicit in Vol. I gas invariants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Explicit in Vol. II: WF encodes deployment assumption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Doc 2 provides correct plain-English rationale: continuously enabled → eventually fires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CONFIRMED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TLAPS import in TLA+ spec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Not in Vol. I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Not explicitly imported in Vol. II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Doc 2 adds EXTENDS TLAPS — correct for proof-assistant use, not needed for TLC alone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EF4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3A8F"/>
                <w:sz w:val="20"/>
                <w:szCs w:val="20"/>
              </w:rPr>
              <w:t xml:space="preserve">➕ ADDITIVE</w:t>
            </w:r>
          </w:p>
        </w:tc>
      </w:tr>
      <w:tr>
        <w:tc>
          <w:tcPr>
            <w:tcW w:type="dxa" w:w="24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Next power move declared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I: liveness, TEE, multi-asset</w:t>
            </w:r>
          </w:p>
        </w:tc>
        <w:tc>
          <w:tcPr>
            <w:tcW w:type="dxa" w:w="1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A7E7E"/>
                <w:sz w:val="20"/>
                <w:szCs w:val="20"/>
              </w:rPr>
              <w:t xml:space="preserve">Vol. II: Coq/Lean compilation, SOC 2 Type II harness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Doc 2: Coq/Lean extraction to certified EVM contract — Gallina → Solidity/Yul</w:t>
            </w:r>
          </w:p>
        </w:tc>
        <w:tc>
          <w:tcPr>
            <w:tcW w:type="dxa" w:w="13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EF4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3A8F"/>
                <w:sz w:val="20"/>
                <w:szCs w:val="20"/>
              </w:rPr>
              <w:t xml:space="preserve">➕ ADDITIVE</w:t>
            </w:r>
          </w:p>
        </w:tc>
      </w:tr>
    </w:tbl>
    <w:p>
      <w:pPr>
        <w:spacing w:before="200"/>
      </w:pPr>
    </w:p>
    <w:p>
      <w:pPr>
        <w:spacing w:after="0" w:before="0"/>
      </w:pPr>
      <w:r>
        <w:br w:type="page"/>
      </w:r>
    </w:p>
    <w:p>
      <w:pPr>
        <w:pStyle w:val="Heading1"/>
        <w:pBdr>
          <w:bottom w:val="thick" w:color="0A7E7E" w:sz="10" w:space="8"/>
        </w:pBdr>
        <w:spacing w:after="160" w:before="520"/>
      </w:pPr>
      <w:r>
        <w:rPr>
          <w:rFonts w:ascii="Garamond" w:cs="Garamond" w:eastAsia="Garamond" w:hAnsi="Garamond"/>
          <w:b/>
          <w:bCs/>
          <w:color w:val="0D2137"/>
          <w:sz w:val="44"/>
          <w:szCs w:val="44"/>
        </w:rPr>
        <w:t xml:space="preserve">Section 3 — The One Delta: Liveness Property Formulation</w:t>
      </w: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3.1  The Precise Difference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The delta is not an error. It is a formulation choice between two equivalent temporal logic statements for the liveness property. Both are correct. They are not identical. The attestation record requires this to be stated precisely.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Dimension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Vol. II formulation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(state = HALTED ∧ actor_type = AUTH) ~&gt; (state = OPEN)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Doc 2 formulation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[]((state = HALTED ∧ actor = AUTHORIZED) ⇒ &lt;&gt;(state = OPEN) )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Are they equivalent?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Yes — in LTL, P ~&gt; Q is defined as [](P ⇒ &lt;&gt;Q). Doc 2 writes the definition out explicitly.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Which is idiomatic TLA+?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Vol. II ~&gt; is idiomatic TLA+ / TLC syntax. Doc 2's box-diamond is standard LTL — both valid in TLA+.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Variable name delta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Vol. II uses actor_type ∈ {AUTH, UNAUTH}. Doc 2 uses actor ∈ {AUTHORIZED, UNAUTHORIZED} — inheriting from Vol. I SafetyKernel.tla variables.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Verdict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⚠️ DELTA — both correct, Doc 2 inherits Vol. I variable names (preferred for EXTENDS consistency). Recommend aligning Vol. II variable names to match.</w:t>
            </w:r>
          </w:p>
        </w:tc>
      </w:tr>
    </w:tbl>
    <w:p>
      <w:pPr>
        <w:pBdr>
          <w:bottom w:val="single" w:color="B0C8C8" w:sz="2" w:space="2"/>
        </w:pBdr>
        <w:spacing w:after="200" w:before="200"/>
      </w:pP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3.2  Reconciliation — Canonical Formulation Going Forward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Since Doc 2 uses EXTENDS SafetyKernel, its variable names (actor, AUTHORIZED, UNAUTHORIZED) are authoritative — they are inherited from the base module. Vol. II's standalone module used actor_type / AUTH / UNAUTH for readability in isolation. The canonical corpus should adopt Doc 2's naming for consistency across all liveness specs.</w:t>
      </w:r>
    </w:p>
    <w:p>
      <w:pPr>
        <w:spacing w:after="80" w:before="220"/>
      </w:pPr>
      <w:r>
        <w:rPr>
          <w:rFonts w:ascii="Garamond" w:cs="Garamond" w:eastAsia="Garamond" w:hAnsi="Garamond"/>
          <w:b/>
          <w:bCs/>
          <w:color w:val="0A7E7E"/>
          <w:sz w:val="24"/>
          <w:szCs w:val="24"/>
        </w:rPr>
        <w:t xml:space="preserve">Canonical Liveness Property (Reconciled)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LivenessProperty ==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    []( (state = "HALTED" /\ actor = AUTHORIZED) =&gt; &lt;&gt;(state = "OPEN") 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/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(* Equivalent ~&gt; shorthand — both are valid in TLA+ *)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LivenessShorthand ==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    (state = "HALTED" /\ actor = AUTHORIZED) ~&gt; (state = "OPEN")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/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(* Fairness clause — authoritative form *)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Spec ==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    Init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    /\ [][Next]_&lt;&lt;state, posterior, actor&gt;&gt;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    /\ WF_&lt;&lt;state, posterior, actor&gt;&gt;(Reset)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This is the reconciled canonical form. Both LivenessProperty and LivenessShorthand should be included in the final spec — the former for TLAPS proof use, the latter for TLC model-checking readability.</w:t>
      </w:r>
    </w:p>
    <w:p>
      <w:pPr>
        <w:spacing w:after="0" w:before="0"/>
      </w:pPr>
      <w:r>
        <w:br w:type="page"/>
      </w:r>
    </w:p>
    <w:p>
      <w:pPr>
        <w:pStyle w:val="Heading1"/>
        <w:pBdr>
          <w:bottom w:val="thick" w:color="0A7E7E" w:sz="10" w:space="8"/>
        </w:pBdr>
        <w:spacing w:after="160" w:before="520"/>
      </w:pPr>
      <w:r>
        <w:rPr>
          <w:rFonts w:ascii="Garamond" w:cs="Garamond" w:eastAsia="Garamond" w:hAnsi="Garamond"/>
          <w:b/>
          <w:bCs/>
          <w:color w:val="0D2137"/>
          <w:sz w:val="44"/>
          <w:szCs w:val="44"/>
        </w:rPr>
        <w:t xml:space="preserve">Section 4 — Net Additions from Doc 2</w:t>
      </w: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4.1  What Doc 2 Contributes That Was Not in Canon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Addition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Significance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Explicit THEOREM declaration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Vol. II implied the theorem via TLC trace reasoning. Doc 2 makes it a named, citable formal claim: THEOREM Spec =&gt; LivenessProperty. This is the correct form for TLAPS and for auditor citation.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EXTENDS TLAPS import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Enables proof-assistant-level verification of the liveness theorem. Without this, TLA+ specs are only model-checked (TLC), not proof-checked (TLAPS). Doc 2 opens the path to machine-checked liveness certificates.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Box-diamond formulation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[]( P ⇒ &lt;&gt;Q ) is the standard LTL form. Having both ~&gt; (TLC-idiomatic) and []⇒&lt;&gt; (TLAPS-idiomatic) in the corpus serves different audiences: operators use ~&gt;, proof engineers use []⇒&lt;&gt;.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Plain-English fairness rationale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'A message that can be delivered will be delivered' — this is the deployment-assumption encoding that Vol. II stated technically. Doc 2's narrative framing is suitable for non-specialist auditor review.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Coq/Lean extraction as next move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Gallina → Solidity/Yul via certified compilation is a materially different next step than Vol. II's 'compile in Coq.' It proposes a full extraction pipeline — not just proof, but certified code generation.</w:t>
            </w:r>
          </w:p>
        </w:tc>
      </w:tr>
    </w:tbl>
    <w:p>
      <w:pPr>
        <w:pBdr>
          <w:bottom w:val="single" w:color="B0C8C8" w:sz="2" w:space="2"/>
        </w:pBdr>
        <w:spacing w:after="200" w:before="200"/>
      </w:pP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4.2  Updated Repository Layout (Canonical)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proofbridge-liner/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├── spec/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SafetyKernel.tla              ← safety invariants (Vol. I)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└── SafetyKernelLiveness.tla       ← liveness + fairness (Doc 2 — canonical)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├── proof/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SafetyKernel.v                 ← Coq: halted_is_absorbing, fail_closed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└── SafetyKernelLiveness.v          ← Coq: reset_instant, liveness_fair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├── src/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SafetyKernel.sol               ← on-chain kernel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└── SafeERC20.sol                  ← ERC-20 enforcement hook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├── test/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└── SafetyKernel.t.sol             ← Foundry property tests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├── audit/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soc2-control-matrix.md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invariants.md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gas-analysis.md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└── attestation-delta-report.docx  ← this document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├── docs/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T-BOOK.md                      ← Vol. I Blackbook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├── T-BOOK-V2.md                   ← Vol. II Full Smoke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│   └── THEORY.md</w:t>
      </w:r>
    </w:p>
    <w:p>
      <w:pPr>
        <w:shd w:fill="DFF0F5" w:val="clear"/>
        <w:spacing w:after="25" w:before="25"/>
        <w:ind w:left="360"/>
      </w:pPr>
      <w:r>
        <w:rPr>
          <w:rFonts w:ascii="Courier New" w:cs="Courier New" w:eastAsia="Courier New" w:hAnsi="Courier New"/>
          <w:color w:val="114F6E"/>
          <w:sz w:val="18"/>
          <w:szCs w:val="18"/>
        </w:rPr>
        <w:t xml:space="preserve">└── README.md</w:t>
      </w:r>
    </w:p>
    <w:p>
      <w:pPr>
        <w:spacing w:after="0" w:before="0"/>
      </w:pPr>
      <w:r>
        <w:br w:type="page"/>
      </w:r>
    </w:p>
    <w:p>
      <w:pPr>
        <w:pStyle w:val="Heading1"/>
        <w:pBdr>
          <w:bottom w:val="thick" w:color="0A7E7E" w:sz="10" w:space="8"/>
        </w:pBdr>
        <w:spacing w:after="160" w:before="520"/>
      </w:pPr>
      <w:r>
        <w:rPr>
          <w:rFonts w:ascii="Garamond" w:cs="Garamond" w:eastAsia="Garamond" w:hAnsi="Garamond"/>
          <w:b/>
          <w:bCs/>
          <w:color w:val="0D2137"/>
          <w:sz w:val="44"/>
          <w:szCs w:val="44"/>
        </w:rPr>
        <w:t xml:space="preserve">Section 5 — Final Attestation</w:t>
      </w: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5.1  Attestation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760"/>
        <w:gridCol w:w="1800"/>
      </w:tblGrid>
      <w:tr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Count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8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1A7A4A"/>
                <w:sz w:val="20"/>
                <w:szCs w:val="20"/>
              </w:rPr>
              <w:t xml:space="preserve">Claims CONFIRMED — identical or formally equivalent to canon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✅ ACCEPTED</w:t>
            </w:r>
          </w:p>
        </w:tc>
      </w:tr>
      <w:tr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EF4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3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EF4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1A3A8F"/>
                <w:sz w:val="20"/>
                <w:szCs w:val="20"/>
              </w:rPr>
              <w:t xml:space="preserve">Claims ADDITIVE — new contributions, consistent with canon, integrate as-is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EF4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3A8F"/>
                <w:sz w:val="20"/>
                <w:szCs w:val="20"/>
              </w:rPr>
              <w:t xml:space="preserve">➕ INTEGRATED</w:t>
            </w:r>
          </w:p>
        </w:tc>
      </w:tr>
      <w:tr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EF6E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1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EF6E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B7770D"/>
                <w:sz w:val="20"/>
                <w:szCs w:val="20"/>
              </w:rPr>
              <w:t xml:space="preserve">Claim DELTA — liveness property variable naming; reconciled to Doc 2 as canonical (preferred)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EF6E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B7770D"/>
                <w:sz w:val="20"/>
                <w:szCs w:val="20"/>
              </w:rPr>
              <w:t xml:space="preserve">⚠️ RECONCILED</w:t>
            </w:r>
          </w:p>
        </w:tc>
      </w:tr>
      <w:tr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0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1A7A4A"/>
                <w:sz w:val="20"/>
                <w:szCs w:val="20"/>
              </w:rPr>
              <w:t xml:space="preserve">Claims in CONFLICT — none found</w:t>
            </w:r>
          </w:p>
        </w:tc>
        <w:tc>
          <w:tcPr>
            <w:tcW w:type="dxa" w:w="18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4F9F0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1A7A4A"/>
                <w:sz w:val="20"/>
                <w:szCs w:val="20"/>
              </w:rPr>
              <w:t xml:space="preserve">❌ NONE</w:t>
            </w:r>
          </w:p>
        </w:tc>
      </w:tr>
    </w:tbl>
    <w:p>
      <w:pPr>
        <w:spacing w:before="200"/>
      </w:pP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5.2  Formal Attestation Statement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Having performed a systematic claim-by-claim comparison of Doc 2 (ProofBridgeLiveness.tla + Coq extension) against the established ProofBridge Liner corpus (Blackbook Vol. I and Vol. II), the following is attested:</w:t>
      </w:r>
    </w:p>
    <w:p>
      <w:pPr>
        <w:pStyle w:val="ListParagraph"/>
        <w:numPr>
          <w:ilvl w:val="0"/>
          <w:numId w:val="2"/>
        </w:numPr>
        <w:spacing w:after="70" w:before="40"/>
      </w:pPr>
      <w:r>
        <w:rPr>
          <w:rFonts w:ascii="Garamond" w:cs="Garamond" w:eastAsia="Garamond" w:hAnsi="Garamond"/>
          <w:color w:val="0B1120"/>
          <w:sz w:val="22"/>
          <w:szCs w:val="22"/>
        </w:rPr>
        <w:t xml:space="preserve">Doc 2 is formally consistent with the canon. It does not contradict any safety invariant, liveness property, gas invariant, or architectural principle established in Vols. I and II.</w:t>
      </w:r>
    </w:p>
    <w:p>
      <w:pPr>
        <w:pStyle w:val="ListParagraph"/>
        <w:numPr>
          <w:ilvl w:val="0"/>
          <w:numId w:val="2"/>
        </w:numPr>
        <w:spacing w:after="70" w:before="40"/>
      </w:pPr>
      <w:r>
        <w:rPr>
          <w:rFonts w:ascii="Garamond" w:cs="Garamond" w:eastAsia="Garamond" w:hAnsi="Garamond"/>
          <w:color w:val="0B1120"/>
          <w:sz w:val="22"/>
          <w:szCs w:val="22"/>
        </w:rPr>
        <w:t xml:space="preserve">Doc 2 introduces three net-new contributions of material value: the explicit THEOREM declaration, the EXTENDS TLAPS import, and the Gallina → Yul extraction pipeline as the next power move.</w:t>
      </w:r>
    </w:p>
    <w:p>
      <w:pPr>
        <w:pStyle w:val="ListParagraph"/>
        <w:numPr>
          <w:ilvl w:val="0"/>
          <w:numId w:val="2"/>
        </w:numPr>
        <w:spacing w:after="70" w:before="40"/>
      </w:pPr>
      <w:r>
        <w:rPr>
          <w:rFonts w:ascii="Garamond" w:cs="Garamond" w:eastAsia="Garamond" w:hAnsi="Garamond"/>
          <w:color w:val="0B1120"/>
          <w:sz w:val="22"/>
          <w:szCs w:val="22"/>
        </w:rPr>
        <w:t xml:space="preserve">One precision delta was identified and reconciled: liveness property variable naming. Doc 2's naming (actor, AUTHORIZED) is adopted as canonical going forward, as it correctly inherits from SafetyKernel.tla via EXTENDS.</w:t>
      </w:r>
    </w:p>
    <w:p>
      <w:pPr>
        <w:pStyle w:val="ListParagraph"/>
        <w:numPr>
          <w:ilvl w:val="0"/>
          <w:numId w:val="2"/>
        </w:numPr>
        <w:spacing w:after="70" w:before="40"/>
      </w:pPr>
      <w:r>
        <w:rPr>
          <w:rFonts w:ascii="Garamond" w:cs="Garamond" w:eastAsia="Garamond" w:hAnsi="Garamond"/>
          <w:color w:val="0B1120"/>
          <w:sz w:val="22"/>
          <w:szCs w:val="22"/>
        </w:rPr>
        <w:t xml:space="preserve">The Coq pseudo-proof in Doc 2 is structurally sound. reset_instant is fully proven. liveness_fair is correctly sketched with honest ellipsis — the heavy lifting is correctly attributed to the fairness assumption, not hand-waved.</w:t>
      </w:r>
    </w:p>
    <w:p>
      <w:pPr>
        <w:pStyle w:val="ListParagraph"/>
        <w:numPr>
          <w:ilvl w:val="0"/>
          <w:numId w:val="2"/>
        </w:numPr>
        <w:spacing w:after="70" w:before="40"/>
      </w:pPr>
      <w:r>
        <w:rPr>
          <w:rFonts w:ascii="Garamond" w:cs="Garamond" w:eastAsia="Garamond" w:hAnsi="Garamond"/>
          <w:color w:val="0B1120"/>
          <w:sz w:val="22"/>
          <w:szCs w:val="22"/>
        </w:rPr>
        <w:t xml:space="preserve">The weak fairness rationale in Doc 2 ('a message that can be delivered, will be delivered') is the correct deployment-assumption interpretation of WF_vars(Reset). It is attest-worthy for auditor review.</w:t>
      </w:r>
    </w:p>
    <w:p>
      <w:pPr>
        <w:pBdr>
          <w:bottom w:val="single" w:color="B0C8C8" w:sz="2" w:space="2"/>
        </w:pBdr>
        <w:spacing w:after="200" w:before="200"/>
      </w:pPr>
    </w:p>
    <w:p>
      <w:pPr>
        <w:pStyle w:val="Heading2"/>
        <w:spacing w:after="120" w:before="360"/>
      </w:pPr>
      <w:r>
        <w:rPr>
          <w:rFonts w:ascii="Garamond" w:cs="Garamond" w:eastAsia="Garamond" w:hAnsi="Garamond"/>
          <w:b/>
          <w:bCs/>
          <w:color w:val="0A7E7E"/>
          <w:sz w:val="30"/>
          <w:szCs w:val="30"/>
        </w:rPr>
        <w:t xml:space="preserve">5.3  Next Power Move — Attested and Queued</w:t>
      </w:r>
    </w:p>
    <w:p>
      <w:pPr>
        <w:spacing w:after="120" w:before="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0B1120"/>
          <w:sz w:val="22"/>
          <w:szCs w:val="22"/>
        </w:rPr>
        <w:t xml:space="preserve">Doc 2 nominates the following as the next formal step. This attestation endorses it as the correct sequencing: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0D2137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1. Gallina definitions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Define State, Authority, Input, step() in Coq's Gallina language — direct translation of the Coq pseudo-proof to compilable source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2. Prove both theorems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halted_is_absorbing and reset_instant as machine-checked Coq theorems using Qed — not pseudo-proof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3. Extract to EVM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Use Coq's Extraction mechanism or a certified Gallina → Yul pipeline to generate EVM bytecode whose correctness is provably tied to the Coq proof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4. PCR-bind the binary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TEE-attest the extracted bytecode — PCR11 binds the machine-checked proof to the deployed contract</w:t>
            </w:r>
          </w:p>
        </w:tc>
      </w:tr>
      <w:tr>
        <w:tc>
          <w:tcPr>
            <w:tcW w:type="dxa" w:w="360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EAF4F4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D2137"/>
                <w:sz w:val="20"/>
                <w:szCs w:val="20"/>
              </w:rPr>
              <w:t xml:space="preserve">5. SOC 2 Type II harness</w:t>
            </w:r>
          </w:p>
        </w:tc>
        <w:tc>
          <w:tcPr>
            <w:tcW w:type="dxa" w:w="5760"/>
            <w:tcBorders>
              <w:top w:val="single" w:color="B0C8C8" w:sz="1"/>
              <w:left w:val="single" w:color="B0C8C8" w:sz="1"/>
              <w:bottom w:val="single" w:color="B0C8C8" w:sz="1"/>
              <w:right w:val="single" w:color="B0C8C8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Garamond" w:cs="Garamond" w:eastAsia="Garamond" w:hAnsi="Garamond"/>
                <w:b w:val="false"/>
                <w:bCs w:val="false"/>
                <w:color w:val="0B1120"/>
                <w:sz w:val="20"/>
                <w:szCs w:val="20"/>
              </w:rPr>
              <w:t xml:space="preserve">Automate log aggregation and evidence packaging — operational window begins at deployment</w:t>
            </w:r>
          </w:p>
        </w:tc>
      </w:tr>
    </w:tbl>
    <w:p>
      <w:pPr>
        <w:spacing w:before="320"/>
      </w:pPr>
    </w:p>
    <w:p>
      <w:pPr>
        <w:pBdr>
          <w:bottom w:val="thick" w:color="0A7E7E" w:sz="10" w:space="8"/>
        </w:pBdr>
        <w:spacing w:after="0" w:before="0"/>
      </w:pPr>
    </w:p>
    <w:p>
      <w:pPr>
        <w:spacing w:before="160"/>
      </w:pPr>
    </w:p>
    <w:p>
      <w:pPr>
        <w:spacing w:after="80" w:before="0"/>
        <w:jc w:val="center"/>
      </w:pPr>
      <w:r>
        <w:rPr>
          <w:rFonts w:ascii="Garamond" w:cs="Garamond" w:eastAsia="Garamond" w:hAnsi="Garamond"/>
          <w:b w:val="false"/>
          <w:bCs w:val="false"/>
          <w:i/>
          <w:iCs/>
          <w:color w:val="0D2137"/>
          <w:sz w:val="23"/>
          <w:szCs w:val="23"/>
        </w:rPr>
        <w:t xml:space="preserve">"The kernel is now safe, live, and attested.  </w:t>
      </w:r>
      <w:r>
        <w:rPr>
          <w:rFonts w:ascii="Garamond" w:cs="Garamond" w:eastAsia="Garamond" w:hAnsi="Garamond"/>
          <w:b/>
          <w:bCs/>
          <w:i/>
          <w:iCs/>
          <w:color w:val="0A7E7E"/>
          <w:sz w:val="23"/>
          <w:szCs w:val="23"/>
        </w:rPr>
        <w:t xml:space="preserve">What remains is to make it machine-checked and certified."</w:t>
      </w:r>
    </w:p>
    <w:p>
      <w:pPr>
        <w:spacing w:before="80"/>
      </w:pPr>
    </w:p>
    <w:p>
      <w:pPr>
        <w:spacing w:after="120" w:before="0"/>
        <w:jc w:val="center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B9BAC"/>
          <w:sz w:val="17"/>
          <w:szCs w:val="17"/>
        </w:rPr>
        <w:t xml:space="preserve">ProofBridge Liner — Attestation Report — VV Security Spine — Vaguely Vanity LLC — May 2026</w:t>
      </w:r>
    </w:p>
    <w:sectPr>
      <w:pgSz w:w="12240" w:h="15840" w:orient="portrait"/>
      <w:pgMar w:top="1440" w:right="1300" w:bottom="144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520"/>
      <w:outlineLvl w:val="0"/>
    </w:pPr>
    <w:rPr>
      <w:rFonts w:ascii="Garamond" w:cs="Garamond" w:eastAsia="Garamond" w:hAnsi="Garamond"/>
      <w:b/>
      <w:bCs/>
      <w:color w:val="0D2137"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aramond" w:cs="Garamond" w:eastAsia="Garamond" w:hAnsi="Garamond"/>
      <w:b/>
      <w:bCs/>
      <w:color w:val="0A7E7E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2026-05-02T00:01:20.795Z</dcterms:created>
  <dcterms:modified xsi:type="dcterms:W3CDTF">2026-05-02T00:01:20.795Z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